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64DD751C"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006B4402">
        <w:rPr>
          <w:rFonts w:cs="Arial"/>
          <w:sz w:val="24"/>
          <w:szCs w:val="24"/>
          <w:lang w:eastAsia="zh-CN"/>
        </w:rPr>
        <w:t>bis</w:t>
      </w:r>
      <w:r w:rsidRPr="006D409C">
        <w:rPr>
          <w:rFonts w:cs="Arial"/>
          <w:sz w:val="24"/>
          <w:szCs w:val="24"/>
          <w:lang w:eastAsia="zh-CN"/>
        </w:rPr>
        <w:tab/>
      </w:r>
      <w:r w:rsidR="0003467D" w:rsidRPr="0003467D">
        <w:rPr>
          <w:rFonts w:cs="Arial"/>
          <w:sz w:val="24"/>
          <w:szCs w:val="24"/>
          <w:lang w:eastAsia="zh-CN"/>
        </w:rPr>
        <w:t>R4-2503322</w:t>
      </w:r>
    </w:p>
    <w:p w14:paraId="6CA8D070" w14:textId="77777777" w:rsidR="006B4402" w:rsidRPr="00F542A0" w:rsidRDefault="006B4402" w:rsidP="006B4402">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p w14:paraId="3EA1A6F3" w14:textId="589CF817" w:rsidR="004E3E93" w:rsidRPr="003B73B5" w:rsidRDefault="004E3E93" w:rsidP="003B73B5">
      <w:pPr>
        <w:rPr>
          <w:rFonts w:ascii="Arial" w:hAnsi="Arial" w:cs="Arial"/>
          <w:sz w:val="16"/>
          <w:szCs w:val="16"/>
        </w:rPr>
      </w:pPr>
      <w:r w:rsidRPr="006D409C">
        <w:rPr>
          <w:rFonts w:ascii="Arial" w:hAnsi="Arial" w:cs="Arial"/>
          <w:b/>
        </w:rPr>
        <w:t>Agenda Item:</w:t>
      </w:r>
      <w:r w:rsidRPr="006D409C">
        <w:rPr>
          <w:rFonts w:ascii="Arial" w:hAnsi="Arial" w:cs="Arial"/>
          <w:b/>
        </w:rPr>
        <w:tab/>
      </w:r>
      <w:r w:rsidR="003B73B5">
        <w:rPr>
          <w:rFonts w:ascii="Arial" w:hAnsi="Arial" w:cs="Arial"/>
          <w:b/>
        </w:rPr>
        <w:tab/>
      </w:r>
      <w:r w:rsidR="003B73B5">
        <w:rPr>
          <w:rFonts w:ascii="Arial" w:hAnsi="Arial" w:cs="Arial"/>
          <w:b/>
        </w:rPr>
        <w:tab/>
      </w:r>
      <w:r w:rsidR="003B73B5" w:rsidRPr="003B73B5">
        <w:rPr>
          <w:rFonts w:ascii="Arial" w:hAnsi="Arial" w:cs="Arial"/>
          <w:b/>
          <w:sz w:val="20"/>
          <w:szCs w:val="20"/>
          <w:lang w:val="en-GB"/>
        </w:rPr>
        <w:t>7.10.2.2.</w:t>
      </w:r>
      <w:r w:rsidR="00961BDF">
        <w:rPr>
          <w:rFonts w:ascii="Arial" w:hAnsi="Arial" w:cs="Arial"/>
          <w:b/>
          <w:sz w:val="20"/>
          <w:szCs w:val="20"/>
          <w:lang w:val="en-GB"/>
        </w:rPr>
        <w:t>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41874E47"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3B73B5">
        <w:rPr>
          <w:rFonts w:ascii="Arial" w:hAnsi="Arial" w:cs="Arial"/>
          <w:b/>
        </w:rPr>
        <w:t xml:space="preserve">RF requirements for </w:t>
      </w:r>
      <w:r w:rsidR="003B73B5">
        <w:rPr>
          <w:rFonts w:ascii="Arial" w:hAnsi="Arial" w:cs="Arial" w:hint="eastAsia"/>
          <w:b/>
        </w:rPr>
        <w:t>NR-NTN</w:t>
      </w:r>
      <w:r w:rsidR="003B73B5">
        <w:rPr>
          <w:rFonts w:ascii="Arial" w:hAnsi="Arial" w:cs="Arial"/>
          <w:b/>
        </w:rPr>
        <w:t xml:space="preserve"> </w:t>
      </w:r>
    </w:p>
    <w:p w14:paraId="1AE2556E" w14:textId="6CEA8694"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2A18FB" w:rsidRPr="002A18FB">
        <w:rPr>
          <w:rFonts w:ascii="Arial" w:hAnsi="Arial" w:cs="Arial"/>
          <w:b/>
        </w:rPr>
        <w:t>Approval</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9C3040C" w:rsidR="003B73B5" w:rsidRDefault="003B73B5" w:rsidP="003B73B5">
      <w:pPr>
        <w:rPr>
          <w:lang w:val="sv-SE"/>
        </w:rPr>
      </w:pPr>
      <w:r>
        <w:rPr>
          <w:rFonts w:hint="eastAsia"/>
          <w:lang w:val="sv-SE"/>
        </w:rPr>
        <w:t>R</w:t>
      </w:r>
      <w:r>
        <w:rPr>
          <w:lang w:val="sv-SE"/>
        </w:rPr>
        <w:t>el-19 NTN agreed to introduce HPUE for NR-NTN operation for uplink coverage imp</w:t>
      </w:r>
      <w:r w:rsidR="0071684C">
        <w:rPr>
          <w:lang w:val="sv-SE"/>
        </w:rPr>
        <w:t xml:space="preserve">rovement.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jc w:val="left"/>
              <w:textAlignment w:val="auto"/>
            </w:pPr>
            <w: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jc w:val="left"/>
              <w:textAlignment w:val="auto"/>
            </w:pPr>
            <w: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jc w:val="left"/>
              <w:textAlignment w:val="auto"/>
            </w:pPr>
            <w: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jc w:val="left"/>
              <w:textAlignment w:val="auto"/>
            </w:pPr>
            <w: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jc w:val="left"/>
              <w:textAlignment w:val="auto"/>
            </w:pPr>
            <w: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jc w:val="left"/>
              <w:textAlignment w:val="auto"/>
            </w:pPr>
            <w:r>
              <w:t>Specify high power UE (HPUE) for NR-NTN (Non-Terrestrial Networks) and IoT-NTN (NB-IoT and eMTC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jc w:val="left"/>
              <w:textAlignment w:val="auto"/>
            </w:pPr>
            <w: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jc w:val="left"/>
              <w:textAlignment w:val="auto"/>
            </w:pPr>
            <w: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jc w:val="left"/>
              <w:textAlignment w:val="auto"/>
            </w:pPr>
            <w:r>
              <w:t>Non-hand held UE is prioritized</w:t>
            </w:r>
          </w:p>
          <w:p w14:paraId="2BDC07FE" w14:textId="77777777" w:rsidR="004A311B" w:rsidRDefault="004A311B" w:rsidP="004A311B">
            <w:pPr>
              <w:pStyle w:val="aff6"/>
              <w:numPr>
                <w:ilvl w:val="1"/>
                <w:numId w:val="28"/>
              </w:numPr>
              <w:overflowPunct/>
              <w:autoSpaceDE/>
              <w:autoSpaceDN/>
              <w:adjustRightInd/>
              <w:ind w:firstLineChars="0"/>
              <w:jc w:val="left"/>
              <w:textAlignment w:val="auto"/>
            </w:pPr>
            <w: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jc w:val="left"/>
              <w:textAlignment w:val="auto"/>
            </w:pPr>
            <w: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jc w:val="left"/>
              <w:textAlignment w:val="auto"/>
            </w:pPr>
            <w: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jc w:val="left"/>
              <w:textAlignment w:val="auto"/>
            </w:pPr>
            <w: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jc w:val="left"/>
              <w:textAlignment w:val="auto"/>
            </w:pPr>
            <w: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jc w:val="left"/>
              <w:textAlignment w:val="auto"/>
            </w:pPr>
            <w: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ind w:firstLineChars="0"/>
              <w:textAlignment w:val="auto"/>
            </w:pPr>
            <w:r>
              <w:t>Specify the necessary signaling to support the above objectives</w:t>
            </w:r>
          </w:p>
        </w:tc>
      </w:tr>
    </w:tbl>
    <w:p w14:paraId="497F395E" w14:textId="77777777" w:rsidR="004A311B" w:rsidRDefault="004A311B" w:rsidP="003B73B5">
      <w:pPr>
        <w:rPr>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3DFABE7" w:rsidR="00771728" w:rsidRDefault="0062292E" w:rsidP="00F05C38">
      <w:pPr>
        <w:pStyle w:val="1"/>
        <w:numPr>
          <w:ilvl w:val="0"/>
          <w:numId w:val="4"/>
        </w:numPr>
        <w:rPr>
          <w:lang w:val="en-GB" w:eastAsia="ja-JP"/>
        </w:rPr>
      </w:pPr>
      <w:r>
        <w:rPr>
          <w:lang w:val="en-GB" w:eastAsia="ja-JP"/>
        </w:rPr>
        <w:lastRenderedPageBreak/>
        <w:t>Discussion</w:t>
      </w:r>
    </w:p>
    <w:p w14:paraId="56D28393" w14:textId="5DB367F0" w:rsidR="00C74205" w:rsidRPr="00C74205" w:rsidRDefault="00C74205" w:rsidP="00C74205">
      <w:pPr>
        <w:rPr>
          <w:b/>
          <w:bCs/>
          <w:lang w:val="en-GB"/>
        </w:rPr>
      </w:pPr>
      <w:r w:rsidRPr="00C74205">
        <w:rPr>
          <w:rFonts w:hint="eastAsia"/>
          <w:b/>
          <w:bCs/>
          <w:lang w:val="en-GB"/>
        </w:rPr>
        <w:t>A</w:t>
      </w:r>
      <w:r w:rsidRPr="00C74205">
        <w:rPr>
          <w:b/>
          <w:bCs/>
          <w:lang w:val="en-GB"/>
        </w:rPr>
        <w:t>CLR requirements</w:t>
      </w:r>
    </w:p>
    <w:p w14:paraId="46A73B34" w14:textId="3D429114" w:rsidR="00C74205" w:rsidRDefault="00C74205" w:rsidP="00C74205">
      <w:pPr>
        <w:rPr>
          <w:lang w:val="en-GB"/>
        </w:rPr>
      </w:pPr>
      <w:r>
        <w:rPr>
          <w:lang w:val="en-GB"/>
        </w:rPr>
        <w:t>I</w:t>
      </w:r>
      <w:r>
        <w:rPr>
          <w:rFonts w:hint="eastAsia"/>
          <w:lang w:val="en-GB"/>
        </w:rPr>
        <w:t>n</w:t>
      </w:r>
      <w:r>
        <w:rPr>
          <w:lang w:val="en-GB"/>
        </w:rPr>
        <w:t xml:space="preserve"> </w:t>
      </w:r>
      <w:r>
        <w:rPr>
          <w:rFonts w:hint="eastAsia"/>
          <w:lang w:val="en-GB"/>
        </w:rPr>
        <w:t>last</w:t>
      </w:r>
      <w:r>
        <w:rPr>
          <w:lang w:val="en-GB"/>
        </w:rPr>
        <w:t xml:space="preserve"> </w:t>
      </w:r>
      <w:r>
        <w:rPr>
          <w:rFonts w:hint="eastAsia"/>
          <w:lang w:val="en-GB"/>
        </w:rPr>
        <w:t>RAN</w:t>
      </w:r>
      <w:r>
        <w:rPr>
          <w:lang w:val="en-GB"/>
        </w:rPr>
        <w:t xml:space="preserve">4 </w:t>
      </w:r>
      <w:r>
        <w:rPr>
          <w:rFonts w:hint="eastAsia"/>
          <w:lang w:val="en-GB"/>
        </w:rPr>
        <w:t>meeting</w:t>
      </w:r>
      <w:r>
        <w:rPr>
          <w:lang w:val="en-GB"/>
        </w:rPr>
        <w:t>, initial conclusion reached for co-existence study as following:</w:t>
      </w:r>
    </w:p>
    <w:tbl>
      <w:tblPr>
        <w:tblStyle w:val="afd"/>
        <w:tblW w:w="0" w:type="auto"/>
        <w:tblLook w:val="04A0" w:firstRow="1" w:lastRow="0" w:firstColumn="1" w:lastColumn="0" w:noHBand="0" w:noVBand="1"/>
      </w:tblPr>
      <w:tblGrid>
        <w:gridCol w:w="9631"/>
      </w:tblGrid>
      <w:tr w:rsidR="00C74205" w14:paraId="5172FD2A" w14:textId="77777777" w:rsidTr="00C74205">
        <w:tc>
          <w:tcPr>
            <w:tcW w:w="9631" w:type="dxa"/>
          </w:tcPr>
          <w:p w14:paraId="47A04912" w14:textId="77777777" w:rsidR="007E013A" w:rsidRPr="005060B7" w:rsidRDefault="007E013A" w:rsidP="007E013A">
            <w:r w:rsidRPr="005060B7">
              <w:rPr>
                <w:b/>
                <w:u w:val="single"/>
                <w:lang w:eastAsia="ko-KR"/>
              </w:rPr>
              <w:t>Issue 2-4-1: PC2 ACLR</w:t>
            </w:r>
          </w:p>
          <w:p w14:paraId="6B20096F" w14:textId="77777777" w:rsidR="007E013A" w:rsidRPr="005060B7" w:rsidRDefault="007E013A" w:rsidP="007E013A">
            <w:pPr>
              <w:rPr>
                <w:rFonts w:eastAsia="Malgun Gothic"/>
                <w:b/>
                <w:u w:val="single"/>
              </w:rPr>
            </w:pPr>
            <w:r w:rsidRPr="005060B7">
              <w:rPr>
                <w:rFonts w:eastAsia="Malgun Gothic" w:hint="eastAsia"/>
                <w:b/>
                <w:u w:val="single"/>
              </w:rPr>
              <w:t>A</w:t>
            </w:r>
            <w:r w:rsidRPr="005060B7">
              <w:rPr>
                <w:rFonts w:eastAsia="Malgun Gothic"/>
                <w:b/>
                <w:u w:val="single"/>
              </w:rPr>
              <w:t xml:space="preserve">greement: </w:t>
            </w:r>
          </w:p>
          <w:p w14:paraId="4716D59E" w14:textId="77777777" w:rsidR="007E013A" w:rsidRPr="005060B7" w:rsidRDefault="007E013A" w:rsidP="007E013A">
            <w:pPr>
              <w:pStyle w:val="aff6"/>
              <w:numPr>
                <w:ilvl w:val="0"/>
                <w:numId w:val="24"/>
              </w:numPr>
              <w:spacing w:line="240" w:lineRule="auto"/>
              <w:ind w:firstLineChars="0"/>
              <w:jc w:val="left"/>
            </w:pPr>
            <w:r w:rsidRPr="005060B7">
              <w:t>PC2 ACLR is [30 or 31] dBc for NR-NTN UE</w:t>
            </w:r>
          </w:p>
          <w:p w14:paraId="520DF69F" w14:textId="77777777" w:rsidR="007E013A" w:rsidRPr="005060B7" w:rsidRDefault="007E013A" w:rsidP="007E013A"/>
          <w:p w14:paraId="7CBB2500" w14:textId="77777777" w:rsidR="007E013A" w:rsidRPr="005060B7" w:rsidRDefault="007E013A" w:rsidP="007E013A">
            <w:pPr>
              <w:pStyle w:val="aff6"/>
              <w:overflowPunct/>
              <w:autoSpaceDE/>
              <w:autoSpaceDN/>
              <w:adjustRightInd/>
              <w:spacing w:after="120"/>
              <w:ind w:firstLineChars="0" w:firstLine="0"/>
              <w:textAlignment w:val="auto"/>
              <w:rPr>
                <w:rFonts w:eastAsia="宋体"/>
                <w:szCs w:val="24"/>
                <w:lang w:eastAsia="zh-CN"/>
              </w:rPr>
            </w:pPr>
            <w:r w:rsidRPr="005060B7">
              <w:rPr>
                <w:b/>
                <w:u w:val="single"/>
                <w:lang w:eastAsia="ko-KR"/>
              </w:rPr>
              <w:t>Issue 2-4-2: PC1.5 ACLR</w:t>
            </w:r>
          </w:p>
          <w:p w14:paraId="328758C7" w14:textId="77777777" w:rsidR="007E013A" w:rsidRPr="005060B7" w:rsidRDefault="007E013A" w:rsidP="007E013A">
            <w:pPr>
              <w:rPr>
                <w:b/>
                <w:bCs/>
              </w:rPr>
            </w:pPr>
            <w:r w:rsidRPr="005060B7">
              <w:rPr>
                <w:b/>
                <w:bCs/>
              </w:rPr>
              <w:t>Agreement:</w:t>
            </w:r>
          </w:p>
          <w:p w14:paraId="0D6593CD" w14:textId="77777777" w:rsidR="007E013A" w:rsidRPr="005060B7" w:rsidRDefault="007E013A" w:rsidP="007E013A">
            <w:pPr>
              <w:pStyle w:val="aff6"/>
              <w:numPr>
                <w:ilvl w:val="0"/>
                <w:numId w:val="24"/>
              </w:numPr>
              <w:spacing w:line="240" w:lineRule="auto"/>
              <w:ind w:firstLineChars="0"/>
              <w:jc w:val="left"/>
            </w:pPr>
            <w:r w:rsidRPr="005060B7">
              <w:t>PC1.5 ACLR is [30 or 31] dBc for NR-NTN UE</w:t>
            </w:r>
          </w:p>
          <w:p w14:paraId="0CE3DA38" w14:textId="77777777" w:rsidR="007E013A" w:rsidRPr="005060B7" w:rsidRDefault="007E013A" w:rsidP="007E013A"/>
          <w:p w14:paraId="1C375968" w14:textId="77777777" w:rsidR="007E013A" w:rsidRPr="005060B7" w:rsidRDefault="007E013A" w:rsidP="007E013A">
            <w:pPr>
              <w:rPr>
                <w:b/>
                <w:u w:val="single"/>
                <w:lang w:eastAsia="ko-KR"/>
              </w:rPr>
            </w:pPr>
            <w:r w:rsidRPr="005060B7">
              <w:rPr>
                <w:b/>
                <w:u w:val="single"/>
                <w:lang w:eastAsia="ko-KR"/>
              </w:rPr>
              <w:t>Issue 2-4-3: PC1 ACLR</w:t>
            </w:r>
          </w:p>
          <w:p w14:paraId="126DB410" w14:textId="77777777" w:rsidR="007E013A" w:rsidRPr="005060B7" w:rsidRDefault="007E013A" w:rsidP="007E013A">
            <w:pPr>
              <w:rPr>
                <w:b/>
                <w:bCs/>
              </w:rPr>
            </w:pPr>
            <w:r w:rsidRPr="005060B7">
              <w:rPr>
                <w:b/>
                <w:bCs/>
              </w:rPr>
              <w:t>Agreement:</w:t>
            </w:r>
          </w:p>
          <w:p w14:paraId="15A19604" w14:textId="77777777" w:rsidR="007E013A" w:rsidRPr="005060B7" w:rsidRDefault="007E013A" w:rsidP="007E013A">
            <w:pPr>
              <w:pStyle w:val="aff6"/>
              <w:numPr>
                <w:ilvl w:val="0"/>
                <w:numId w:val="24"/>
              </w:numPr>
              <w:spacing w:line="240" w:lineRule="auto"/>
              <w:ind w:firstLineChars="0"/>
              <w:jc w:val="left"/>
            </w:pPr>
            <w:r w:rsidRPr="005060B7">
              <w:t>PC1 ACLR is [31 or 37] dBc for NR-NTN UE</w:t>
            </w:r>
          </w:p>
          <w:p w14:paraId="7304E6E0" w14:textId="77777777" w:rsidR="007E013A" w:rsidRPr="005060B7" w:rsidRDefault="007E013A" w:rsidP="007E013A">
            <w:pPr>
              <w:pStyle w:val="aff6"/>
              <w:numPr>
                <w:ilvl w:val="0"/>
                <w:numId w:val="24"/>
              </w:numPr>
              <w:overflowPunct/>
              <w:autoSpaceDE/>
              <w:autoSpaceDN/>
              <w:adjustRightInd/>
              <w:spacing w:after="120" w:line="240" w:lineRule="auto"/>
              <w:ind w:firstLineChars="0"/>
              <w:jc w:val="left"/>
              <w:textAlignment w:val="auto"/>
              <w:rPr>
                <w:rFonts w:eastAsia="宋体"/>
                <w:szCs w:val="24"/>
                <w:lang w:eastAsia="zh-CN"/>
              </w:rPr>
            </w:pPr>
            <w:r w:rsidRPr="005060B7">
              <w:rPr>
                <w:rFonts w:eastAsia="宋体"/>
                <w:szCs w:val="24"/>
                <w:lang w:eastAsia="zh-CN"/>
              </w:rPr>
              <w:t>Further study averaging value, i.e. 34.</w:t>
            </w:r>
          </w:p>
          <w:p w14:paraId="2147902E" w14:textId="3D783544" w:rsidR="00C74205" w:rsidRPr="00F67874" w:rsidRDefault="00C74205" w:rsidP="007E013A">
            <w:pPr>
              <w:pStyle w:val="aff6"/>
              <w:numPr>
                <w:ilvl w:val="1"/>
                <w:numId w:val="24"/>
              </w:numPr>
              <w:overflowPunct/>
              <w:autoSpaceDE/>
              <w:autoSpaceDN/>
              <w:adjustRightInd/>
              <w:spacing w:after="120"/>
              <w:ind w:firstLineChars="0"/>
              <w:textAlignment w:val="auto"/>
              <w:rPr>
                <w:rFonts w:eastAsia="宋体" w:cstheme="minorHAnsi"/>
              </w:rPr>
            </w:pPr>
          </w:p>
        </w:tc>
      </w:tr>
    </w:tbl>
    <w:p w14:paraId="3DC48129" w14:textId="7E0D31E0" w:rsidR="00C74205" w:rsidRDefault="00C74205" w:rsidP="00C74205">
      <w:pPr>
        <w:rPr>
          <w:lang w:val="en-GB"/>
        </w:rPr>
      </w:pPr>
      <w:r>
        <w:rPr>
          <w:rFonts w:hint="eastAsia"/>
          <w:lang w:val="en-GB"/>
        </w:rPr>
        <w:t>O</w:t>
      </w:r>
      <w:r>
        <w:rPr>
          <w:lang w:val="en-GB"/>
        </w:rPr>
        <w:t>n isolation distance, we prefer to align with previous assumption the deployment scenario and restriction shall be c</w:t>
      </w:r>
      <w:r w:rsidRPr="00C74205">
        <w:rPr>
          <w:lang w:val="en-GB"/>
        </w:rPr>
        <w:t>onsistency</w:t>
      </w:r>
      <w:r>
        <w:rPr>
          <w:lang w:val="en-GB"/>
        </w:rPr>
        <w:t xml:space="preserve"> independent to device power classes which belongs to UE capability.</w:t>
      </w:r>
    </w:p>
    <w:p w14:paraId="5B3F4DDE" w14:textId="22A79D17" w:rsidR="00F67874" w:rsidRDefault="00F67874" w:rsidP="00C74205">
      <w:pPr>
        <w:rPr>
          <w:lang w:val="en-GB"/>
        </w:rPr>
      </w:pPr>
      <w:r>
        <w:rPr>
          <w:rFonts w:hint="eastAsia"/>
          <w:lang w:val="en-GB"/>
        </w:rPr>
        <w:t>F</w:t>
      </w:r>
      <w:r>
        <w:rPr>
          <w:lang w:val="en-GB"/>
        </w:rPr>
        <w:t>or TN operation, following ACLR is specified based on co-existence:</w:t>
      </w:r>
    </w:p>
    <w:p w14:paraId="723B774D" w14:textId="77777777" w:rsidR="00F67874" w:rsidRDefault="00F67874" w:rsidP="00F67874">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67874" w14:paraId="50CF63D0" w14:textId="77777777" w:rsidTr="008415EE">
        <w:trPr>
          <w:cantSplit/>
          <w:jc w:val="center"/>
        </w:trPr>
        <w:tc>
          <w:tcPr>
            <w:tcW w:w="1026" w:type="dxa"/>
            <w:tcBorders>
              <w:top w:val="single" w:sz="4" w:space="0" w:color="auto"/>
              <w:left w:val="single" w:sz="4" w:space="0" w:color="auto"/>
              <w:bottom w:val="single" w:sz="4" w:space="0" w:color="auto"/>
              <w:right w:val="single" w:sz="4" w:space="0" w:color="auto"/>
            </w:tcBorders>
          </w:tcPr>
          <w:p w14:paraId="6E5CAC99" w14:textId="77777777" w:rsidR="00F67874" w:rsidRDefault="00F67874" w:rsidP="008415EE">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4564B83" w14:textId="77777777" w:rsidR="00F67874" w:rsidRDefault="00F67874" w:rsidP="008415EE">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D9BCA04" w14:textId="77777777" w:rsidR="00F67874" w:rsidRDefault="00F67874" w:rsidP="008415EE">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CA1C4CF" w14:textId="77777777" w:rsidR="00F67874" w:rsidRDefault="00F67874" w:rsidP="008415EE">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5080C5E" w14:textId="77777777" w:rsidR="00F67874" w:rsidRDefault="00F67874" w:rsidP="008415EE">
            <w:pPr>
              <w:pStyle w:val="TAH"/>
              <w:rPr>
                <w:lang w:val="fr-FR"/>
              </w:rPr>
            </w:pPr>
            <w:r>
              <w:rPr>
                <w:lang w:val="fr-FR"/>
              </w:rPr>
              <w:t>Power class 3</w:t>
            </w:r>
          </w:p>
        </w:tc>
      </w:tr>
      <w:tr w:rsidR="00F67874" w14:paraId="2EB36205" w14:textId="77777777" w:rsidTr="008415EE">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F351188" w14:textId="77777777" w:rsidR="00F67874" w:rsidRDefault="00F67874" w:rsidP="008415EE">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71EE689E" w14:textId="77777777" w:rsidR="00F67874" w:rsidRDefault="00F67874" w:rsidP="008415EE">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623069E9" w14:textId="77777777" w:rsidR="00F67874" w:rsidRDefault="00F67874" w:rsidP="008415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765BFADD" w14:textId="77777777" w:rsidR="00F67874" w:rsidRDefault="00F67874" w:rsidP="008415EE">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1B3EDB7" w14:textId="77777777" w:rsidR="00F67874" w:rsidRDefault="00F67874" w:rsidP="008415EE">
            <w:pPr>
              <w:pStyle w:val="TAC"/>
              <w:rPr>
                <w:lang w:val="fr-FR"/>
              </w:rPr>
            </w:pPr>
            <w:r>
              <w:rPr>
                <w:lang w:val="fr-FR"/>
              </w:rPr>
              <w:t>30 dB</w:t>
            </w:r>
          </w:p>
        </w:tc>
      </w:tr>
      <w:tr w:rsidR="00F67874" w14:paraId="281ED253" w14:textId="77777777" w:rsidTr="008415EE">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2C419CE" w14:textId="77777777" w:rsidR="00F67874" w:rsidRDefault="00F67874" w:rsidP="008415EE">
            <w:pPr>
              <w:pStyle w:val="TAN"/>
              <w:rPr>
                <w:lang w:val="fr-FR"/>
              </w:rPr>
            </w:pPr>
            <w:r>
              <w:rPr>
                <w:lang w:val="fr-FR"/>
              </w:rPr>
              <w:t>NOTE 1:</w:t>
            </w:r>
            <w:r>
              <w:rPr>
                <w:lang w:val="fr-FR"/>
              </w:rPr>
              <w:tab/>
              <w:t>Void</w:t>
            </w:r>
          </w:p>
        </w:tc>
      </w:tr>
    </w:tbl>
    <w:p w14:paraId="13425173" w14:textId="77777777" w:rsidR="00F67874" w:rsidRDefault="00F67874" w:rsidP="00C74205">
      <w:pPr>
        <w:rPr>
          <w:lang w:val="en-GB"/>
        </w:rPr>
      </w:pPr>
    </w:p>
    <w:p w14:paraId="5726DBED" w14:textId="57C1194B" w:rsidR="00C74205" w:rsidRDefault="00F67874" w:rsidP="00C74205">
      <w:pPr>
        <w:rPr>
          <w:lang w:val="en-GB"/>
        </w:rPr>
      </w:pPr>
      <w:r>
        <w:rPr>
          <w:lang w:val="en-GB"/>
        </w:rPr>
        <w:t xml:space="preserve">On NTN operation, the critical issue is coverage due to long distance between satellite over the space to terminal. With reasonable ACLR, it will bring benefits to improve uplink coverage with less MPR and or A-MPR. </w:t>
      </w:r>
    </w:p>
    <w:p w14:paraId="33071351" w14:textId="67760D98" w:rsidR="00F67874" w:rsidRDefault="00F67874" w:rsidP="00C74205">
      <w:pPr>
        <w:rPr>
          <w:lang w:val="en-GB"/>
        </w:rPr>
      </w:pPr>
      <w:r>
        <w:rPr>
          <w:lang w:val="en-GB"/>
        </w:rPr>
        <w:t>Based on above consideration, we suggest to specify following ACLR values</w:t>
      </w:r>
      <w:r>
        <w:rPr>
          <w:rFonts w:hint="eastAsia"/>
          <w:lang w:val="en-GB"/>
        </w:rPr>
        <w:t>:</w:t>
      </w:r>
    </w:p>
    <w:p w14:paraId="53B20A34" w14:textId="2C1E6471" w:rsidR="00F67874" w:rsidRPr="00F67874" w:rsidRDefault="00F67874" w:rsidP="00C74205">
      <w:pPr>
        <w:rPr>
          <w:b/>
          <w:bCs/>
          <w:lang w:val="en-GB"/>
        </w:rPr>
      </w:pPr>
      <w:r w:rsidRPr="00F67874">
        <w:rPr>
          <w:rFonts w:hint="eastAsia"/>
          <w:b/>
          <w:bCs/>
          <w:lang w:val="en-GB"/>
        </w:rPr>
        <w:t>P</w:t>
      </w:r>
      <w:r w:rsidRPr="00F67874">
        <w:rPr>
          <w:b/>
          <w:bCs/>
          <w:lang w:val="en-GB"/>
        </w:rPr>
        <w:t xml:space="preserve">roposal 1: Specify NR-NTN HPUE </w:t>
      </w:r>
      <w:r w:rsidRPr="00F67874">
        <w:rPr>
          <w:rFonts w:hint="eastAsia"/>
          <w:b/>
          <w:bCs/>
          <w:lang w:val="en-GB"/>
        </w:rPr>
        <w:t>ACLR</w:t>
      </w:r>
      <w:r w:rsidRPr="00F67874">
        <w:rPr>
          <w:b/>
          <w:bCs/>
          <w:lang w:val="en-GB"/>
        </w:rPr>
        <w:t xml:space="preserve"> </w:t>
      </w:r>
      <w:r w:rsidRPr="00F67874">
        <w:rPr>
          <w:rFonts w:hint="eastAsia"/>
          <w:b/>
          <w:bCs/>
          <w:lang w:val="en-GB"/>
        </w:rPr>
        <w:t>as</w:t>
      </w:r>
      <w:r w:rsidRPr="00F67874">
        <w:rPr>
          <w:b/>
          <w:bCs/>
          <w:lang w:val="en-GB"/>
        </w:rPr>
        <w:t xml:space="preserve"> following:</w:t>
      </w:r>
    </w:p>
    <w:p w14:paraId="25001F97" w14:textId="7E1131CD"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C2: </w:t>
      </w:r>
      <w:r w:rsidR="0032028C">
        <w:rPr>
          <w:rFonts w:eastAsiaTheme="minorEastAsia"/>
          <w:lang w:eastAsia="zh-CN"/>
        </w:rPr>
        <w:t>30</w:t>
      </w:r>
      <w:r>
        <w:rPr>
          <w:rFonts w:eastAsiaTheme="minorEastAsia"/>
          <w:lang w:eastAsia="zh-CN"/>
        </w:rPr>
        <w:t xml:space="preserve"> dBc</w:t>
      </w:r>
    </w:p>
    <w:p w14:paraId="355B2B8D" w14:textId="6DB68EF8"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C1.5: </w:t>
      </w:r>
      <w:r w:rsidR="0032028C">
        <w:rPr>
          <w:rFonts w:eastAsiaTheme="minorEastAsia"/>
          <w:lang w:eastAsia="zh-CN"/>
        </w:rPr>
        <w:t>30</w:t>
      </w:r>
      <w:r>
        <w:rPr>
          <w:rFonts w:eastAsiaTheme="minorEastAsia"/>
          <w:lang w:eastAsia="zh-CN"/>
        </w:rPr>
        <w:t xml:space="preserve"> dBc</w:t>
      </w:r>
    </w:p>
    <w:p w14:paraId="55D90A83" w14:textId="4162B4A3"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C1: </w:t>
      </w:r>
      <w:r w:rsidR="0032028C">
        <w:rPr>
          <w:rFonts w:eastAsiaTheme="minorEastAsia"/>
          <w:lang w:eastAsia="zh-CN"/>
        </w:rPr>
        <w:t>31</w:t>
      </w:r>
      <w:r>
        <w:rPr>
          <w:rFonts w:eastAsiaTheme="minorEastAsia"/>
          <w:lang w:eastAsia="zh-CN"/>
        </w:rPr>
        <w:t xml:space="preserve"> dBc </w:t>
      </w:r>
    </w:p>
    <w:p w14:paraId="0B84C096" w14:textId="7DF05863" w:rsidR="004C069C" w:rsidRDefault="004C069C" w:rsidP="004C069C">
      <w:pPr>
        <w:rPr>
          <w:b/>
          <w:bCs/>
          <w:lang w:val="en-GB"/>
        </w:rPr>
      </w:pPr>
      <w:r w:rsidRPr="004C069C">
        <w:rPr>
          <w:b/>
          <w:bCs/>
          <w:lang w:val="en-GB"/>
        </w:rPr>
        <w:t xml:space="preserve">Target device types and device type assumption </w:t>
      </w:r>
    </w:p>
    <w:p w14:paraId="087BD66A" w14:textId="36562062" w:rsidR="004C069C" w:rsidRPr="004C069C" w:rsidRDefault="004C069C" w:rsidP="004C069C">
      <w:pPr>
        <w:rPr>
          <w:rFonts w:cstheme="minorHAnsi"/>
          <w:sz w:val="20"/>
          <w:szCs w:val="20"/>
          <w:lang w:val="en-GB"/>
        </w:rPr>
      </w:pPr>
      <w:r w:rsidRPr="004C069C">
        <w:rPr>
          <w:rFonts w:cstheme="minorHAnsi"/>
          <w:sz w:val="20"/>
          <w:szCs w:val="20"/>
          <w:lang w:val="en-GB"/>
        </w:rPr>
        <w:t>In general, we prefer to leverage existing TN network design on FDD bands as much as possible with following thinking:</w:t>
      </w:r>
    </w:p>
    <w:p w14:paraId="261C5450" w14:textId="21251D87"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Harmonize the common design between TN and NTN operation for echo-system </w:t>
      </w:r>
    </w:p>
    <w:p w14:paraId="27EA9A4A" w14:textId="566EE85E"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Shared RF chain between NTN and TN operation on similar frequency range for handheld device for cost and form factor limitations</w:t>
      </w:r>
    </w:p>
    <w:p w14:paraId="77D54792" w14:textId="74B013AB"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Reduce RAN4 workload on leverage the conclusion from TN to NTN </w:t>
      </w:r>
    </w:p>
    <w:p w14:paraId="2AE3DEF6" w14:textId="7E2872AE" w:rsidR="004C069C" w:rsidRPr="004C069C" w:rsidRDefault="004C069C" w:rsidP="004C069C">
      <w:pPr>
        <w:rPr>
          <w:rFonts w:cstheme="minorHAnsi"/>
          <w:sz w:val="20"/>
          <w:szCs w:val="20"/>
        </w:rPr>
      </w:pPr>
      <w:r w:rsidRPr="004C069C">
        <w:rPr>
          <w:rFonts w:cstheme="minorHAnsi"/>
          <w:sz w:val="20"/>
          <w:szCs w:val="20"/>
        </w:rPr>
        <w:t>And in current FR1 FDD TN operation, following status can be summarized:</w:t>
      </w:r>
    </w:p>
    <w:p w14:paraId="70C48308" w14:textId="3DB27561"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FDD PC3: 1Tx and handheld device</w:t>
      </w:r>
    </w:p>
    <w:p w14:paraId="024DDE3D" w14:textId="125991D6"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FDD PC2: 1Tx and applicable for handheld device</w:t>
      </w:r>
    </w:p>
    <w:p w14:paraId="00EB8A12" w14:textId="4B69A34E"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FDD PC1.5: not support for FDD bands, TDD bands via 2Tx </w:t>
      </w:r>
    </w:p>
    <w:p w14:paraId="01958BDF" w14:textId="2218EBEA" w:rsidR="004C069C" w:rsidRPr="004C069C" w:rsidRDefault="004C069C" w:rsidP="004C069C">
      <w:pPr>
        <w:pStyle w:val="aff6"/>
        <w:numPr>
          <w:ilvl w:val="0"/>
          <w:numId w:val="30"/>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FDD PC1: only for non-handheld device with 1Tx </w:t>
      </w:r>
    </w:p>
    <w:p w14:paraId="6AA0893D" w14:textId="581643E9" w:rsidR="0071684C" w:rsidRDefault="004C069C" w:rsidP="0071684C">
      <w:r>
        <w:rPr>
          <w:rFonts w:hint="eastAsia"/>
        </w:rPr>
        <w:lastRenderedPageBreak/>
        <w:t>W</w:t>
      </w:r>
      <w:r>
        <w:t>ith above observations, our preference as following:</w:t>
      </w:r>
    </w:p>
    <w:p w14:paraId="69382C6A" w14:textId="2DA95897" w:rsidR="00C74205" w:rsidRPr="00C74205" w:rsidRDefault="00C74205" w:rsidP="0071684C">
      <w:pPr>
        <w:rPr>
          <w:b/>
          <w:bCs/>
          <w:sz w:val="20"/>
          <w:szCs w:val="20"/>
        </w:rPr>
      </w:pPr>
      <w:r w:rsidRPr="00C74205">
        <w:rPr>
          <w:rFonts w:hint="eastAsia"/>
          <w:b/>
          <w:bCs/>
          <w:sz w:val="20"/>
          <w:szCs w:val="20"/>
        </w:rPr>
        <w:t>P</w:t>
      </w:r>
      <w:r w:rsidRPr="00C74205">
        <w:rPr>
          <w:b/>
          <w:bCs/>
          <w:sz w:val="20"/>
          <w:szCs w:val="20"/>
        </w:rPr>
        <w:t xml:space="preserve">roposal </w:t>
      </w:r>
      <w:r w:rsidR="00F67874">
        <w:rPr>
          <w:b/>
          <w:bCs/>
          <w:sz w:val="20"/>
          <w:szCs w:val="20"/>
        </w:rPr>
        <w:t>2</w:t>
      </w:r>
      <w:r w:rsidRPr="00C74205">
        <w:rPr>
          <w:b/>
          <w:bCs/>
          <w:sz w:val="20"/>
          <w:szCs w:val="20"/>
        </w:rPr>
        <w:t>: On target device type and UE architecture assumption, RAN4 focus below cases in Rel-19</w:t>
      </w:r>
    </w:p>
    <w:p w14:paraId="4D5A4B74" w14:textId="4F9B41AA" w:rsidR="004C069C" w:rsidRPr="00C74205" w:rsidRDefault="00C74205" w:rsidP="00F67874">
      <w:pPr>
        <w:pStyle w:val="aff6"/>
        <w:numPr>
          <w:ilvl w:val="0"/>
          <w:numId w:val="34"/>
        </w:numPr>
        <w:ind w:firstLineChars="0"/>
        <w:jc w:val="left"/>
      </w:pPr>
      <w:r w:rsidRPr="00C74205">
        <w:rPr>
          <w:rFonts w:hint="eastAsia"/>
        </w:rPr>
        <w:t>F</w:t>
      </w:r>
      <w:r w:rsidRPr="00C74205">
        <w:t xml:space="preserve">or PC2, both 1Tx and 2Tx can be considered and 1Tx shall be prioritized. </w:t>
      </w:r>
    </w:p>
    <w:p w14:paraId="12330667" w14:textId="3C4694E4" w:rsidR="00C74205" w:rsidRPr="00C74205" w:rsidRDefault="00C74205" w:rsidP="00F67874">
      <w:pPr>
        <w:pStyle w:val="aff6"/>
        <w:numPr>
          <w:ilvl w:val="0"/>
          <w:numId w:val="34"/>
        </w:numPr>
        <w:ind w:firstLineChars="0"/>
        <w:jc w:val="left"/>
      </w:pPr>
      <w:r w:rsidRPr="00C74205">
        <w:rPr>
          <w:rFonts w:hint="eastAsia"/>
        </w:rPr>
        <w:t>F</w:t>
      </w:r>
      <w:r w:rsidRPr="00C74205">
        <w:t xml:space="preserve">or PC1.5, prioritize </w:t>
      </w:r>
      <w:r w:rsidRPr="00C74205">
        <w:rPr>
          <w:rFonts w:hint="eastAsia"/>
          <w:lang w:eastAsia="zh-CN"/>
        </w:rPr>
        <w:t>non-handheld</w:t>
      </w:r>
      <w:r w:rsidRPr="00C74205">
        <w:t xml:space="preserve"> </w:t>
      </w:r>
      <w:r w:rsidRPr="00C74205">
        <w:rPr>
          <w:rFonts w:hint="eastAsia"/>
          <w:lang w:eastAsia="zh-CN"/>
        </w:rPr>
        <w:t>device</w:t>
      </w:r>
      <w:r w:rsidRPr="00C74205">
        <w:t xml:space="preserve"> types with 1Tx </w:t>
      </w:r>
    </w:p>
    <w:p w14:paraId="081F5723" w14:textId="21F3FD23" w:rsidR="00C74205" w:rsidRPr="00E04C41" w:rsidRDefault="00C74205" w:rsidP="00F67874">
      <w:pPr>
        <w:pStyle w:val="aff6"/>
        <w:numPr>
          <w:ilvl w:val="0"/>
          <w:numId w:val="34"/>
        </w:numPr>
        <w:ind w:firstLineChars="0"/>
        <w:jc w:val="left"/>
        <w:rPr>
          <w:rFonts w:eastAsiaTheme="minorEastAsia"/>
          <w:lang w:eastAsia="zh-CN"/>
        </w:rPr>
      </w:pPr>
      <w:r w:rsidRPr="00C74205">
        <w:rPr>
          <w:rFonts w:hint="eastAsia"/>
        </w:rPr>
        <w:t>F</w:t>
      </w:r>
      <w:r w:rsidRPr="00C74205">
        <w:t xml:space="preserve">or PC1, only focus on non-handheld device with 1Tx </w:t>
      </w:r>
    </w:p>
    <w:p w14:paraId="2842E216" w14:textId="09C63363" w:rsidR="00E04C41" w:rsidRDefault="00E04C41" w:rsidP="00E04C41">
      <w:pPr>
        <w:jc w:val="left"/>
      </w:pPr>
    </w:p>
    <w:p w14:paraId="13AE001C" w14:textId="77777777" w:rsidR="00E04C41" w:rsidRPr="00E04C41" w:rsidRDefault="00E04C41" w:rsidP="00E04C41">
      <w:pPr>
        <w:jc w:val="left"/>
      </w:pPr>
    </w:p>
    <w:tbl>
      <w:tblPr>
        <w:tblStyle w:val="afd"/>
        <w:tblW w:w="0" w:type="auto"/>
        <w:tblLook w:val="04A0" w:firstRow="1" w:lastRow="0" w:firstColumn="1" w:lastColumn="0" w:noHBand="0" w:noVBand="1"/>
      </w:tblPr>
      <w:tblGrid>
        <w:gridCol w:w="9631"/>
      </w:tblGrid>
      <w:tr w:rsidR="0032028C" w14:paraId="70B0574A" w14:textId="77777777" w:rsidTr="0032028C">
        <w:tc>
          <w:tcPr>
            <w:tcW w:w="9631" w:type="dxa"/>
          </w:tcPr>
          <w:p w14:paraId="381199F6" w14:textId="77777777" w:rsidR="0032028C" w:rsidRPr="005060B7" w:rsidRDefault="0032028C" w:rsidP="0032028C">
            <w:pPr>
              <w:rPr>
                <w:b/>
                <w:u w:val="single"/>
                <w:lang w:eastAsia="ko-KR"/>
              </w:rPr>
            </w:pPr>
            <w:r w:rsidRPr="005060B7">
              <w:rPr>
                <w:b/>
                <w:u w:val="single"/>
                <w:lang w:eastAsia="ko-KR"/>
              </w:rPr>
              <w:t>Issue 2-6: MPR/A-MPR</w:t>
            </w:r>
          </w:p>
          <w:p w14:paraId="164C3162" w14:textId="77777777" w:rsidR="0032028C" w:rsidRPr="005060B7" w:rsidRDefault="0032028C" w:rsidP="0032028C">
            <w:pPr>
              <w:rPr>
                <w:b/>
                <w:bCs/>
              </w:rPr>
            </w:pPr>
            <w:r w:rsidRPr="005060B7">
              <w:rPr>
                <w:b/>
                <w:bCs/>
              </w:rPr>
              <w:t>Agreement:</w:t>
            </w:r>
          </w:p>
          <w:p w14:paraId="040F4D3A" w14:textId="77777777" w:rsidR="0032028C" w:rsidRPr="005060B7" w:rsidRDefault="0032028C" w:rsidP="0032028C">
            <w:pPr>
              <w:pStyle w:val="aff6"/>
              <w:numPr>
                <w:ilvl w:val="0"/>
                <w:numId w:val="35"/>
              </w:numPr>
              <w:spacing w:after="120" w:line="240" w:lineRule="auto"/>
              <w:ind w:firstLineChars="0"/>
              <w:jc w:val="left"/>
              <w:rPr>
                <w:szCs w:val="24"/>
                <w:lang w:eastAsia="zh-CN"/>
              </w:rPr>
            </w:pPr>
            <w:r w:rsidRPr="005060B7">
              <w:rPr>
                <w:szCs w:val="24"/>
                <w:lang w:eastAsia="zh-CN"/>
              </w:rPr>
              <w:t>For PC 2 and PC 1.5 MPR:</w:t>
            </w:r>
          </w:p>
          <w:p w14:paraId="5A126EA1" w14:textId="77777777" w:rsidR="0032028C" w:rsidRPr="005060B7" w:rsidRDefault="0032028C" w:rsidP="0032028C">
            <w:pPr>
              <w:pStyle w:val="aff6"/>
              <w:numPr>
                <w:ilvl w:val="0"/>
                <w:numId w:val="15"/>
              </w:numPr>
              <w:overflowPunct/>
              <w:autoSpaceDE/>
              <w:autoSpaceDN/>
              <w:adjustRightInd/>
              <w:spacing w:after="120" w:line="240" w:lineRule="auto"/>
              <w:ind w:firstLineChars="0"/>
              <w:jc w:val="left"/>
              <w:textAlignment w:val="auto"/>
              <w:rPr>
                <w:rFonts w:eastAsia="宋体"/>
                <w:szCs w:val="24"/>
                <w:lang w:eastAsia="zh-CN"/>
              </w:rPr>
            </w:pPr>
            <w:r w:rsidRPr="005060B7">
              <w:rPr>
                <w:rFonts w:eastAsia="宋体"/>
                <w:szCs w:val="24"/>
                <w:lang w:eastAsia="zh-CN"/>
              </w:rPr>
              <w:t>Option 1: Existing MPR requirements for PC2 and PC1.5 in TS 38.101-1 apply, if PC2/PC1.5 ACLR reused TN PC2/PC1.5 ACLR as 31 dBc.</w:t>
            </w:r>
          </w:p>
          <w:p w14:paraId="102AF80C" w14:textId="77777777" w:rsidR="0032028C" w:rsidRPr="005060B7" w:rsidRDefault="0032028C" w:rsidP="0032028C">
            <w:pPr>
              <w:pStyle w:val="aff6"/>
              <w:numPr>
                <w:ilvl w:val="0"/>
                <w:numId w:val="15"/>
              </w:numPr>
              <w:overflowPunct/>
              <w:autoSpaceDE/>
              <w:autoSpaceDN/>
              <w:adjustRightInd/>
              <w:spacing w:after="120" w:line="240" w:lineRule="auto"/>
              <w:ind w:firstLineChars="0"/>
              <w:jc w:val="left"/>
              <w:textAlignment w:val="auto"/>
              <w:rPr>
                <w:rFonts w:eastAsia="宋体"/>
                <w:szCs w:val="24"/>
                <w:lang w:eastAsia="zh-CN"/>
              </w:rPr>
            </w:pPr>
            <w:r w:rsidRPr="005060B7">
              <w:rPr>
                <w:rFonts w:eastAsia="宋体"/>
                <w:szCs w:val="24"/>
                <w:lang w:eastAsia="zh-CN"/>
              </w:rPr>
              <w:t>Option 2: Aim for MPR analysis for PC2 and PC1.5 if PC/PC1.5 ACLR agreed as 30 dBc.</w:t>
            </w:r>
          </w:p>
          <w:p w14:paraId="5B7AAADE" w14:textId="77777777" w:rsidR="0032028C" w:rsidRPr="005060B7" w:rsidRDefault="0032028C" w:rsidP="0032028C">
            <w:pPr>
              <w:pStyle w:val="aff6"/>
              <w:numPr>
                <w:ilvl w:val="0"/>
                <w:numId w:val="35"/>
              </w:numPr>
              <w:spacing w:after="120" w:line="240" w:lineRule="auto"/>
              <w:ind w:firstLineChars="0"/>
              <w:jc w:val="left"/>
              <w:rPr>
                <w:szCs w:val="24"/>
                <w:lang w:eastAsia="zh-CN"/>
              </w:rPr>
            </w:pPr>
            <w:r w:rsidRPr="005060B7">
              <w:rPr>
                <w:szCs w:val="24"/>
                <w:lang w:eastAsia="zh-CN"/>
              </w:rPr>
              <w:t>For PC 1 MPR:</w:t>
            </w:r>
          </w:p>
          <w:p w14:paraId="0BF9DD92" w14:textId="77777777" w:rsidR="0032028C" w:rsidRPr="005060B7" w:rsidRDefault="0032028C" w:rsidP="0032028C">
            <w:pPr>
              <w:pStyle w:val="aff6"/>
              <w:numPr>
                <w:ilvl w:val="0"/>
                <w:numId w:val="15"/>
              </w:numPr>
              <w:overflowPunct/>
              <w:autoSpaceDE/>
              <w:autoSpaceDN/>
              <w:adjustRightInd/>
              <w:spacing w:after="120" w:line="240" w:lineRule="auto"/>
              <w:ind w:firstLineChars="0"/>
              <w:jc w:val="left"/>
              <w:textAlignment w:val="auto"/>
              <w:rPr>
                <w:rFonts w:eastAsia="宋体"/>
                <w:szCs w:val="24"/>
                <w:lang w:eastAsia="zh-CN"/>
              </w:rPr>
            </w:pPr>
            <w:r w:rsidRPr="005060B7">
              <w:rPr>
                <w:rFonts w:eastAsia="宋体"/>
                <w:szCs w:val="24"/>
                <w:lang w:eastAsia="zh-CN"/>
              </w:rPr>
              <w:t>Option 1: If PC1 ACLR reused TN PC1 ACLR as 37 dBc:</w:t>
            </w:r>
          </w:p>
          <w:p w14:paraId="0BB5D221" w14:textId="77777777" w:rsidR="0032028C" w:rsidRPr="005060B7" w:rsidRDefault="0032028C" w:rsidP="0032028C">
            <w:pPr>
              <w:pStyle w:val="aff6"/>
              <w:numPr>
                <w:ilvl w:val="1"/>
                <w:numId w:val="15"/>
              </w:numPr>
              <w:overflowPunct/>
              <w:autoSpaceDE/>
              <w:autoSpaceDN/>
              <w:adjustRightInd/>
              <w:spacing w:after="120" w:line="240" w:lineRule="auto"/>
              <w:ind w:left="1656" w:firstLineChars="0" w:hanging="360"/>
              <w:jc w:val="left"/>
              <w:textAlignment w:val="auto"/>
              <w:rPr>
                <w:rFonts w:eastAsia="宋体"/>
                <w:szCs w:val="24"/>
                <w:lang w:eastAsia="zh-CN"/>
              </w:rPr>
            </w:pPr>
            <w:r w:rsidRPr="005060B7">
              <w:rPr>
                <w:rFonts w:eastAsia="宋体"/>
                <w:szCs w:val="24"/>
                <w:lang w:eastAsia="zh-CN"/>
              </w:rPr>
              <w:t>Option 1-1: Existing MPR requirements for PC1 in TS 38.101-1 applies</w:t>
            </w:r>
          </w:p>
          <w:p w14:paraId="594AF648" w14:textId="77777777" w:rsidR="0032028C" w:rsidRPr="005060B7" w:rsidRDefault="0032028C" w:rsidP="0032028C">
            <w:pPr>
              <w:pStyle w:val="aff6"/>
              <w:numPr>
                <w:ilvl w:val="1"/>
                <w:numId w:val="15"/>
              </w:numPr>
              <w:overflowPunct/>
              <w:autoSpaceDE/>
              <w:autoSpaceDN/>
              <w:adjustRightInd/>
              <w:spacing w:after="120" w:line="240" w:lineRule="auto"/>
              <w:ind w:left="1656" w:firstLineChars="0" w:hanging="360"/>
              <w:jc w:val="left"/>
              <w:textAlignment w:val="auto"/>
              <w:rPr>
                <w:rFonts w:eastAsia="宋体"/>
                <w:szCs w:val="24"/>
                <w:lang w:eastAsia="zh-CN"/>
              </w:rPr>
            </w:pPr>
            <w:r w:rsidRPr="005060B7">
              <w:rPr>
                <w:rFonts w:eastAsia="宋体"/>
                <w:szCs w:val="24"/>
                <w:lang w:eastAsia="zh-CN"/>
              </w:rPr>
              <w:t>Option 1-2: More analysis is needed to revisit the MPR requirements from TN spec.</w:t>
            </w:r>
          </w:p>
          <w:p w14:paraId="35D2BD2E" w14:textId="2FC8DBF4" w:rsidR="0032028C" w:rsidRPr="0032028C" w:rsidRDefault="0032028C" w:rsidP="0032028C">
            <w:pPr>
              <w:pStyle w:val="aff6"/>
              <w:numPr>
                <w:ilvl w:val="0"/>
                <w:numId w:val="15"/>
              </w:numPr>
              <w:overflowPunct/>
              <w:autoSpaceDE/>
              <w:autoSpaceDN/>
              <w:adjustRightInd/>
              <w:spacing w:after="120" w:line="240" w:lineRule="auto"/>
              <w:ind w:firstLineChars="0"/>
              <w:jc w:val="left"/>
              <w:textAlignment w:val="auto"/>
              <w:rPr>
                <w:rFonts w:eastAsia="宋体"/>
                <w:szCs w:val="24"/>
                <w:lang w:eastAsia="zh-CN"/>
              </w:rPr>
            </w:pPr>
            <w:r w:rsidRPr="005060B7">
              <w:rPr>
                <w:rFonts w:eastAsia="宋体" w:hint="eastAsia"/>
                <w:szCs w:val="24"/>
                <w:lang w:eastAsia="zh-CN"/>
              </w:rPr>
              <w:t>O</w:t>
            </w:r>
            <w:r w:rsidRPr="005060B7">
              <w:rPr>
                <w:rFonts w:eastAsia="宋体"/>
                <w:szCs w:val="24"/>
                <w:lang w:eastAsia="zh-CN"/>
              </w:rPr>
              <w:t>ption 2: Aim for MPR analysis for PC1 for other ACLR values [31 or 34] dBc</w:t>
            </w:r>
          </w:p>
        </w:tc>
      </w:tr>
    </w:tbl>
    <w:p w14:paraId="7D864B05" w14:textId="4CB05259" w:rsidR="0032028C" w:rsidRDefault="0032028C" w:rsidP="0032028C">
      <w:pPr>
        <w:jc w:val="left"/>
      </w:pPr>
      <w:r>
        <w:rPr>
          <w:rFonts w:hint="eastAsia"/>
        </w:rPr>
        <w:t>T</w:t>
      </w:r>
      <w:r>
        <w:t>o algin the ACLR requirements for power classes:</w:t>
      </w:r>
    </w:p>
    <w:p w14:paraId="23540497" w14:textId="08264F83" w:rsidR="0032028C" w:rsidRDefault="0032028C" w:rsidP="0032028C">
      <w:pPr>
        <w:jc w:val="left"/>
        <w:rPr>
          <w:rFonts w:eastAsia="宋体"/>
          <w:szCs w:val="24"/>
        </w:rPr>
      </w:pPr>
      <w:r w:rsidRPr="00C74205">
        <w:rPr>
          <w:rFonts w:hint="eastAsia"/>
          <w:b/>
          <w:bCs/>
          <w:sz w:val="20"/>
          <w:szCs w:val="20"/>
        </w:rPr>
        <w:t>P</w:t>
      </w:r>
      <w:r w:rsidRPr="00C74205">
        <w:rPr>
          <w:b/>
          <w:bCs/>
          <w:sz w:val="20"/>
          <w:szCs w:val="20"/>
        </w:rPr>
        <w:t xml:space="preserve">roposal </w:t>
      </w:r>
      <w:r>
        <w:rPr>
          <w:b/>
          <w:bCs/>
          <w:sz w:val="20"/>
          <w:szCs w:val="20"/>
        </w:rPr>
        <w:t>3</w:t>
      </w:r>
      <w:r w:rsidRPr="00C74205">
        <w:rPr>
          <w:b/>
          <w:bCs/>
          <w:sz w:val="20"/>
          <w:szCs w:val="20"/>
        </w:rPr>
        <w:t>:</w:t>
      </w:r>
      <w:r>
        <w:rPr>
          <w:b/>
          <w:bCs/>
          <w:sz w:val="20"/>
          <w:szCs w:val="20"/>
        </w:rPr>
        <w:t xml:space="preserve"> </w:t>
      </w:r>
      <w:r w:rsidRPr="005060B7">
        <w:rPr>
          <w:rFonts w:eastAsia="宋体"/>
          <w:szCs w:val="24"/>
        </w:rPr>
        <w:t>Aim for MPR analysis for PC2 and PC1.5 if PC/PC1.5 ACLR agreed as 30 dBc</w:t>
      </w:r>
      <w:r>
        <w:rPr>
          <w:rFonts w:eastAsia="宋体"/>
          <w:szCs w:val="24"/>
        </w:rPr>
        <w:t>.</w:t>
      </w:r>
    </w:p>
    <w:p w14:paraId="40C50645" w14:textId="581F50EF" w:rsidR="0032028C" w:rsidRDefault="0032028C" w:rsidP="0032028C">
      <w:pPr>
        <w:jc w:val="left"/>
      </w:pPr>
      <w:r w:rsidRPr="00C74205">
        <w:rPr>
          <w:rFonts w:hint="eastAsia"/>
          <w:b/>
          <w:bCs/>
          <w:sz w:val="20"/>
          <w:szCs w:val="20"/>
        </w:rPr>
        <w:t>P</w:t>
      </w:r>
      <w:r w:rsidRPr="00C74205">
        <w:rPr>
          <w:b/>
          <w:bCs/>
          <w:sz w:val="20"/>
          <w:szCs w:val="20"/>
        </w:rPr>
        <w:t xml:space="preserve">roposal </w:t>
      </w:r>
      <w:r>
        <w:rPr>
          <w:b/>
          <w:bCs/>
          <w:sz w:val="20"/>
          <w:szCs w:val="20"/>
        </w:rPr>
        <w:t>4</w:t>
      </w:r>
      <w:r w:rsidRPr="00C74205">
        <w:rPr>
          <w:b/>
          <w:bCs/>
          <w:sz w:val="20"/>
          <w:szCs w:val="20"/>
        </w:rPr>
        <w:t>:</w:t>
      </w:r>
      <w:r>
        <w:rPr>
          <w:b/>
          <w:bCs/>
          <w:sz w:val="20"/>
          <w:szCs w:val="20"/>
        </w:rPr>
        <w:t xml:space="preserve"> </w:t>
      </w:r>
      <w:r w:rsidRPr="005060B7">
        <w:rPr>
          <w:rFonts w:eastAsia="宋体"/>
          <w:szCs w:val="24"/>
        </w:rPr>
        <w:t>Aim for MPR analysis for PC1 for other ACLR values 31 dBc</w:t>
      </w:r>
    </w:p>
    <w:p w14:paraId="783F370D" w14:textId="77777777" w:rsidR="0032028C" w:rsidRPr="0032028C" w:rsidRDefault="0032028C" w:rsidP="0032028C">
      <w:pPr>
        <w:jc w:val="left"/>
      </w:pP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t>Conclusion</w:t>
      </w:r>
    </w:p>
    <w:p w14:paraId="774DF97F" w14:textId="470B9FA2" w:rsidR="00F67874" w:rsidRDefault="00F67874" w:rsidP="00F67874">
      <w:pPr>
        <w:rPr>
          <w:szCs w:val="21"/>
          <w:lang w:val="sv-SE"/>
        </w:rPr>
      </w:pPr>
      <w:r w:rsidRPr="00F67874">
        <w:rPr>
          <w:rFonts w:hint="eastAsia"/>
          <w:lang w:val="sv-SE"/>
        </w:rPr>
        <w:t>I</w:t>
      </w:r>
      <w:r w:rsidRPr="00F67874">
        <w:rPr>
          <w:lang w:val="sv-SE"/>
        </w:rPr>
        <w:t>n this contribution, views on remaining open issues were provi</w:t>
      </w:r>
      <w:r w:rsidRPr="00F67874">
        <w:rPr>
          <w:szCs w:val="21"/>
          <w:lang w:val="sv-SE"/>
        </w:rPr>
        <w:t xml:space="preserve">ded. </w:t>
      </w:r>
    </w:p>
    <w:p w14:paraId="76F559D5" w14:textId="77777777" w:rsidR="00F67874" w:rsidRPr="00F67874" w:rsidRDefault="00F67874" w:rsidP="00F67874">
      <w:pPr>
        <w:rPr>
          <w:b/>
          <w:bCs/>
          <w:lang w:val="en-GB"/>
        </w:rPr>
      </w:pPr>
      <w:r w:rsidRPr="00F67874">
        <w:rPr>
          <w:rFonts w:hint="eastAsia"/>
          <w:b/>
          <w:bCs/>
          <w:lang w:val="en-GB"/>
        </w:rPr>
        <w:t>P</w:t>
      </w:r>
      <w:r w:rsidRPr="00F67874">
        <w:rPr>
          <w:b/>
          <w:bCs/>
          <w:lang w:val="en-GB"/>
        </w:rPr>
        <w:t xml:space="preserve">roposal 1: Specify NR-NTN HPUE </w:t>
      </w:r>
      <w:r w:rsidRPr="00F67874">
        <w:rPr>
          <w:rFonts w:hint="eastAsia"/>
          <w:b/>
          <w:bCs/>
          <w:lang w:val="en-GB"/>
        </w:rPr>
        <w:t>ACLR</w:t>
      </w:r>
      <w:r w:rsidRPr="00F67874">
        <w:rPr>
          <w:b/>
          <w:bCs/>
          <w:lang w:val="en-GB"/>
        </w:rPr>
        <w:t xml:space="preserve"> </w:t>
      </w:r>
      <w:r w:rsidRPr="00F67874">
        <w:rPr>
          <w:rFonts w:hint="eastAsia"/>
          <w:b/>
          <w:bCs/>
          <w:lang w:val="en-GB"/>
        </w:rPr>
        <w:t>as</w:t>
      </w:r>
      <w:r w:rsidRPr="00F67874">
        <w:rPr>
          <w:b/>
          <w:bCs/>
          <w:lang w:val="en-GB"/>
        </w:rPr>
        <w:t xml:space="preserve"> following:</w:t>
      </w:r>
    </w:p>
    <w:p w14:paraId="3D844108" w14:textId="22B57DA7"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C2: </w:t>
      </w:r>
      <w:r w:rsidR="0032028C">
        <w:rPr>
          <w:rFonts w:eastAsiaTheme="minorEastAsia"/>
          <w:lang w:eastAsia="zh-CN"/>
        </w:rPr>
        <w:t>30</w:t>
      </w:r>
      <w:r>
        <w:rPr>
          <w:rFonts w:eastAsiaTheme="minorEastAsia"/>
          <w:lang w:eastAsia="zh-CN"/>
        </w:rPr>
        <w:t xml:space="preserve"> dBc</w:t>
      </w:r>
    </w:p>
    <w:p w14:paraId="15BFA51A" w14:textId="3418DC31"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C1.5: </w:t>
      </w:r>
      <w:r w:rsidR="0032028C">
        <w:rPr>
          <w:rFonts w:eastAsiaTheme="minorEastAsia"/>
          <w:lang w:eastAsia="zh-CN"/>
        </w:rPr>
        <w:t>30</w:t>
      </w:r>
      <w:r>
        <w:rPr>
          <w:rFonts w:eastAsiaTheme="minorEastAsia"/>
          <w:lang w:eastAsia="zh-CN"/>
        </w:rPr>
        <w:t xml:space="preserve"> dBc</w:t>
      </w:r>
    </w:p>
    <w:p w14:paraId="23F7DD66" w14:textId="4254308A"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C1: </w:t>
      </w:r>
      <w:r w:rsidR="0032028C">
        <w:rPr>
          <w:rFonts w:eastAsiaTheme="minorEastAsia"/>
          <w:lang w:eastAsia="zh-CN"/>
        </w:rPr>
        <w:t>31</w:t>
      </w:r>
      <w:r>
        <w:rPr>
          <w:rFonts w:eastAsiaTheme="minorEastAsia"/>
          <w:lang w:eastAsia="zh-CN"/>
        </w:rPr>
        <w:t xml:space="preserve"> dBc </w:t>
      </w:r>
    </w:p>
    <w:p w14:paraId="602266CD" w14:textId="77777777" w:rsidR="00F67874" w:rsidRPr="00C74205" w:rsidRDefault="00F67874" w:rsidP="00F67874">
      <w:pPr>
        <w:rPr>
          <w:b/>
          <w:bCs/>
          <w:sz w:val="20"/>
          <w:szCs w:val="20"/>
        </w:rPr>
      </w:pPr>
      <w:r w:rsidRPr="00C74205">
        <w:rPr>
          <w:rFonts w:hint="eastAsia"/>
          <w:b/>
          <w:bCs/>
          <w:sz w:val="20"/>
          <w:szCs w:val="20"/>
        </w:rPr>
        <w:t>P</w:t>
      </w:r>
      <w:r w:rsidRPr="00C74205">
        <w:rPr>
          <w:b/>
          <w:bCs/>
          <w:sz w:val="20"/>
          <w:szCs w:val="20"/>
        </w:rPr>
        <w:t xml:space="preserve">roposal </w:t>
      </w:r>
      <w:r>
        <w:rPr>
          <w:b/>
          <w:bCs/>
          <w:sz w:val="20"/>
          <w:szCs w:val="20"/>
        </w:rPr>
        <w:t>2</w:t>
      </w:r>
      <w:r w:rsidRPr="00C74205">
        <w:rPr>
          <w:b/>
          <w:bCs/>
          <w:sz w:val="20"/>
          <w:szCs w:val="20"/>
        </w:rPr>
        <w:t>: On target device type and UE architecture assumption, RAN4 focus below cases in Rel-19</w:t>
      </w:r>
    </w:p>
    <w:p w14:paraId="22CEA82E" w14:textId="77777777" w:rsidR="00F67874" w:rsidRPr="00C74205" w:rsidRDefault="00F67874" w:rsidP="00F67874">
      <w:pPr>
        <w:pStyle w:val="aff6"/>
        <w:numPr>
          <w:ilvl w:val="0"/>
          <w:numId w:val="34"/>
        </w:numPr>
        <w:ind w:firstLineChars="0"/>
        <w:jc w:val="left"/>
      </w:pPr>
      <w:r w:rsidRPr="00C74205">
        <w:rPr>
          <w:rFonts w:hint="eastAsia"/>
        </w:rPr>
        <w:t>F</w:t>
      </w:r>
      <w:r w:rsidRPr="00C74205">
        <w:t xml:space="preserve">or PC2, both 1Tx and 2Tx can be considered and 1Tx shall be prioritized. </w:t>
      </w:r>
    </w:p>
    <w:p w14:paraId="6D16C127" w14:textId="77777777" w:rsidR="00F67874" w:rsidRPr="00C74205" w:rsidRDefault="00F67874" w:rsidP="00F67874">
      <w:pPr>
        <w:pStyle w:val="aff6"/>
        <w:numPr>
          <w:ilvl w:val="0"/>
          <w:numId w:val="34"/>
        </w:numPr>
        <w:ind w:firstLineChars="0"/>
        <w:jc w:val="left"/>
      </w:pPr>
      <w:r w:rsidRPr="00C74205">
        <w:rPr>
          <w:rFonts w:hint="eastAsia"/>
        </w:rPr>
        <w:t>F</w:t>
      </w:r>
      <w:r w:rsidRPr="00C74205">
        <w:t xml:space="preserve">or PC1.5, prioritize </w:t>
      </w:r>
      <w:r w:rsidRPr="00C74205">
        <w:rPr>
          <w:rFonts w:hint="eastAsia"/>
          <w:lang w:eastAsia="zh-CN"/>
        </w:rPr>
        <w:t>non-handheld</w:t>
      </w:r>
      <w:r w:rsidRPr="00C74205">
        <w:t xml:space="preserve"> </w:t>
      </w:r>
      <w:r w:rsidRPr="00C74205">
        <w:rPr>
          <w:rFonts w:hint="eastAsia"/>
          <w:lang w:eastAsia="zh-CN"/>
        </w:rPr>
        <w:t>device</w:t>
      </w:r>
      <w:r w:rsidRPr="00C74205">
        <w:t xml:space="preserve"> types with 1Tx </w:t>
      </w:r>
    </w:p>
    <w:p w14:paraId="1AE7A3A0" w14:textId="3F92899B" w:rsidR="00F67874" w:rsidRPr="00E04C41" w:rsidRDefault="00F67874" w:rsidP="00F67874">
      <w:pPr>
        <w:pStyle w:val="aff6"/>
        <w:numPr>
          <w:ilvl w:val="0"/>
          <w:numId w:val="34"/>
        </w:numPr>
        <w:ind w:firstLineChars="0"/>
        <w:jc w:val="left"/>
        <w:rPr>
          <w:rFonts w:eastAsiaTheme="minorEastAsia"/>
          <w:lang w:eastAsia="zh-CN"/>
        </w:rPr>
      </w:pPr>
      <w:r w:rsidRPr="00C74205">
        <w:rPr>
          <w:rFonts w:hint="eastAsia"/>
        </w:rPr>
        <w:t>F</w:t>
      </w:r>
      <w:r w:rsidRPr="00C74205">
        <w:t xml:space="preserve">or PC1, only focus on non-handheld device with 1Tx </w:t>
      </w:r>
    </w:p>
    <w:p w14:paraId="192A996E" w14:textId="77777777" w:rsidR="00E04C41" w:rsidRPr="00E04C41" w:rsidRDefault="00E04C41" w:rsidP="00E04C41">
      <w:pPr>
        <w:jc w:val="left"/>
        <w:rPr>
          <w:rFonts w:eastAsia="宋体"/>
          <w:szCs w:val="24"/>
        </w:rPr>
      </w:pPr>
      <w:r w:rsidRPr="00E04C41">
        <w:rPr>
          <w:rFonts w:hint="eastAsia"/>
          <w:b/>
          <w:bCs/>
          <w:sz w:val="20"/>
          <w:szCs w:val="20"/>
        </w:rPr>
        <w:t>P</w:t>
      </w:r>
      <w:r w:rsidRPr="00E04C41">
        <w:rPr>
          <w:b/>
          <w:bCs/>
          <w:sz w:val="20"/>
          <w:szCs w:val="20"/>
        </w:rPr>
        <w:t xml:space="preserve">roposal 3: </w:t>
      </w:r>
      <w:r w:rsidRPr="00E04C41">
        <w:rPr>
          <w:rFonts w:eastAsia="宋体"/>
          <w:szCs w:val="24"/>
        </w:rPr>
        <w:t>Aim for MPR analysis for PC2 and PC1.5 if PC/PC1.5 ACLR agreed as 30 dBc.</w:t>
      </w:r>
    </w:p>
    <w:p w14:paraId="124CCDA8" w14:textId="77777777" w:rsidR="00E04C41" w:rsidRDefault="00E04C41" w:rsidP="00E04C41">
      <w:pPr>
        <w:jc w:val="left"/>
      </w:pPr>
      <w:r w:rsidRPr="00E04C41">
        <w:rPr>
          <w:rFonts w:hint="eastAsia"/>
          <w:b/>
          <w:bCs/>
          <w:sz w:val="20"/>
          <w:szCs w:val="20"/>
        </w:rPr>
        <w:t>P</w:t>
      </w:r>
      <w:r w:rsidRPr="00E04C41">
        <w:rPr>
          <w:b/>
          <w:bCs/>
          <w:sz w:val="20"/>
          <w:szCs w:val="20"/>
        </w:rPr>
        <w:t xml:space="preserve">roposal 4: </w:t>
      </w:r>
      <w:r w:rsidRPr="00E04C41">
        <w:rPr>
          <w:rFonts w:eastAsia="宋体"/>
          <w:szCs w:val="24"/>
        </w:rPr>
        <w:t>Aim for MPR analysis for PC1 for other ACLR values 31 dBc</w:t>
      </w:r>
    </w:p>
    <w:p w14:paraId="73B5CB82" w14:textId="77777777" w:rsidR="00E04C41" w:rsidRPr="00E04C41" w:rsidRDefault="00E04C41" w:rsidP="00E04C41">
      <w:pPr>
        <w:jc w:val="left"/>
        <w:rPr>
          <w:lang w:val="en-GB"/>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5935F7CC" w:rsidR="00D62546" w:rsidRPr="00B243A2" w:rsidRDefault="006E0CAF" w:rsidP="004F652D">
      <w:pPr>
        <w:jc w:val="left"/>
      </w:pPr>
      <w:r>
        <w:t>[</w:t>
      </w:r>
      <w:r w:rsidR="005E1368">
        <w:t>1</w:t>
      </w:r>
      <w:r>
        <w:t>] R4-2</w:t>
      </w:r>
      <w:r w:rsidR="005E1368">
        <w:t>420</w:t>
      </w:r>
      <w:r w:rsidR="00F67874">
        <w:t xml:space="preserve">403, WF on NR NTN HPUE, Samsung </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46799" w14:textId="77777777" w:rsidR="00C421C5" w:rsidRDefault="00C421C5" w:rsidP="00FC2656">
      <w:r>
        <w:separator/>
      </w:r>
    </w:p>
  </w:endnote>
  <w:endnote w:type="continuationSeparator" w:id="0">
    <w:p w14:paraId="396EB5B7" w14:textId="77777777" w:rsidR="00C421C5" w:rsidRDefault="00C421C5"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D97DF" w14:textId="77777777" w:rsidR="00C421C5" w:rsidRDefault="00C421C5" w:rsidP="00FC2656">
      <w:r>
        <w:separator/>
      </w:r>
    </w:p>
  </w:footnote>
  <w:footnote w:type="continuationSeparator" w:id="0">
    <w:p w14:paraId="0999AC28" w14:textId="77777777" w:rsidR="00C421C5" w:rsidRDefault="00C421C5"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0"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7"/>
  </w:num>
  <w:num w:numId="2">
    <w:abstractNumId w:val="27"/>
  </w:num>
  <w:num w:numId="3">
    <w:abstractNumId w:val="0"/>
  </w:num>
  <w:num w:numId="4">
    <w:abstractNumId w:val="23"/>
  </w:num>
  <w:num w:numId="5">
    <w:abstractNumId w:val="29"/>
  </w:num>
  <w:num w:numId="6">
    <w:abstractNumId w:val="11"/>
  </w:num>
  <w:num w:numId="7">
    <w:abstractNumId w:val="30"/>
  </w:num>
  <w:num w:numId="8">
    <w:abstractNumId w:val="16"/>
  </w:num>
  <w:num w:numId="9">
    <w:abstractNumId w:val="12"/>
  </w:num>
  <w:num w:numId="10">
    <w:abstractNumId w:val="14"/>
  </w:num>
  <w:num w:numId="11">
    <w:abstractNumId w:val="9"/>
  </w:num>
  <w:num w:numId="12">
    <w:abstractNumId w:val="31"/>
  </w:num>
  <w:num w:numId="13">
    <w:abstractNumId w:val="21"/>
  </w:num>
  <w:num w:numId="14">
    <w:abstractNumId w:val="26"/>
  </w:num>
  <w:num w:numId="15">
    <w:abstractNumId w:val="25"/>
  </w:num>
  <w:num w:numId="16">
    <w:abstractNumId w:val="6"/>
  </w:num>
  <w:num w:numId="17">
    <w:abstractNumId w:val="4"/>
  </w:num>
  <w:num w:numId="18">
    <w:abstractNumId w:val="5"/>
  </w:num>
  <w:num w:numId="19">
    <w:abstractNumId w:val="24"/>
  </w:num>
  <w:num w:numId="20">
    <w:abstractNumId w:val="25"/>
  </w:num>
  <w:num w:numId="21">
    <w:abstractNumId w:val="20"/>
  </w:num>
  <w:num w:numId="22">
    <w:abstractNumId w:val="10"/>
  </w:num>
  <w:num w:numId="23">
    <w:abstractNumId w:val="13"/>
  </w:num>
  <w:num w:numId="24">
    <w:abstractNumId w:val="25"/>
  </w:num>
  <w:num w:numId="25">
    <w:abstractNumId w:val="2"/>
  </w:num>
  <w:num w:numId="26">
    <w:abstractNumId w:val="28"/>
  </w:num>
  <w:num w:numId="27">
    <w:abstractNumId w:val="1"/>
  </w:num>
  <w:num w:numId="28">
    <w:abstractNumId w:val="0"/>
  </w:num>
  <w:num w:numId="29">
    <w:abstractNumId w:val="8"/>
  </w:num>
  <w:num w:numId="30">
    <w:abstractNumId w:val="19"/>
  </w:num>
  <w:num w:numId="31">
    <w:abstractNumId w:val="18"/>
  </w:num>
  <w:num w:numId="32">
    <w:abstractNumId w:val="3"/>
  </w:num>
  <w:num w:numId="33">
    <w:abstractNumId w:val="15"/>
  </w:num>
  <w:num w:numId="34">
    <w:abstractNumId w:val="7"/>
  </w:num>
  <w:num w:numId="3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467D"/>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18FB"/>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028C"/>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136"/>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1C31"/>
    <w:rsid w:val="004F27D7"/>
    <w:rsid w:val="004F29FE"/>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2F6B"/>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AF5"/>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402"/>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13A"/>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BDF"/>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21C5"/>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6293"/>
    <w:rsid w:val="00D97F0C"/>
    <w:rsid w:val="00DA030B"/>
    <w:rsid w:val="00DA1DCC"/>
    <w:rsid w:val="00DA3A86"/>
    <w:rsid w:val="00DA4870"/>
    <w:rsid w:val="00DA76EB"/>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4C41"/>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11B"/>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widowControl/>
      <w:spacing w:after="180" w:line="259" w:lineRule="auto"/>
      <w:ind w:left="568" w:hanging="284"/>
    </w:pPr>
    <w:rPr>
      <w:rFonts w:ascii="Times New Roman" w:eastAsia="宋体" w:hAnsi="Times New Roman" w:cs="Times New Roman"/>
      <w:kern w:val="0"/>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widowControl/>
      <w:spacing w:before="120" w:after="120" w:line="259" w:lineRule="auto"/>
    </w:pPr>
    <w:rPr>
      <w:rFonts w:ascii="Times New Roman" w:eastAsia="宋体" w:hAnsi="Times New Roman" w:cs="Times New Roman"/>
      <w:b/>
      <w:kern w:val="0"/>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pPr>
      <w:widowControl/>
      <w:spacing w:after="180" w:line="259" w:lineRule="auto"/>
    </w:pPr>
    <w:rPr>
      <w:rFonts w:ascii="Times New Roman" w:eastAsia="宋体" w:hAnsi="Times New Roman" w:cs="Times New Roman"/>
      <w:kern w:val="0"/>
      <w:sz w:val="20"/>
      <w:szCs w:val="20"/>
      <w:lang w:val="en-GB" w:eastAsia="en-US"/>
    </w:rPr>
  </w:style>
  <w:style w:type="paragraph" w:styleId="ab">
    <w:name w:val="Body Text"/>
    <w:basedOn w:val="a"/>
    <w:link w:val="ac"/>
    <w:qFormat/>
    <w:pPr>
      <w:widowControl/>
      <w:spacing w:after="180" w:line="259" w:lineRule="auto"/>
    </w:pPr>
    <w:rPr>
      <w:rFonts w:ascii="Times New Roman" w:eastAsia="宋体" w:hAnsi="Times New Roman" w:cs="Times New Roman"/>
      <w:kern w:val="0"/>
      <w:sz w:val="20"/>
      <w:szCs w:val="20"/>
      <w:lang w:val="en-GB" w:eastAsia="en-US"/>
    </w:rPr>
  </w:style>
  <w:style w:type="paragraph" w:styleId="ad">
    <w:name w:val="Plain Text"/>
    <w:basedOn w:val="a"/>
    <w:link w:val="ae"/>
    <w:uiPriority w:val="99"/>
    <w:qFormat/>
    <w:pPr>
      <w:widowControl/>
      <w:spacing w:after="180" w:line="259" w:lineRule="auto"/>
    </w:pPr>
    <w:rPr>
      <w:rFonts w:ascii="Courier New" w:eastAsia="宋体" w:hAnsi="Courier New" w:cs="Times New Roman"/>
      <w:kern w:val="0"/>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widowControl/>
      <w:overflowPunct w:val="0"/>
      <w:autoSpaceDE w:val="0"/>
      <w:autoSpaceDN w:val="0"/>
      <w:adjustRightInd w:val="0"/>
      <w:spacing w:after="180" w:line="259" w:lineRule="auto"/>
      <w:ind w:left="284"/>
      <w:textAlignment w:val="baseline"/>
    </w:pPr>
    <w:rPr>
      <w:rFonts w:ascii="Arial" w:eastAsia="Yu Mincho" w:hAnsi="Arial" w:cs="Times New Roman"/>
      <w:kern w:val="0"/>
      <w:sz w:val="22"/>
      <w:szCs w:val="20"/>
      <w:lang w:val="en-GB" w:eastAsia="en-US"/>
    </w:rPr>
  </w:style>
  <w:style w:type="paragraph" w:styleId="af">
    <w:name w:val="endnote text"/>
    <w:basedOn w:val="a"/>
    <w:link w:val="af0"/>
    <w:qFormat/>
    <w:pPr>
      <w:widowControl/>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US"/>
    </w:rPr>
  </w:style>
  <w:style w:type="paragraph" w:styleId="af1">
    <w:name w:val="Balloon Text"/>
    <w:basedOn w:val="a"/>
    <w:link w:val="af2"/>
    <w:qFormat/>
    <w:pPr>
      <w:widowControl/>
      <w:spacing w:line="259" w:lineRule="auto"/>
    </w:pPr>
    <w:rPr>
      <w:rFonts w:ascii="Times New Roman" w:eastAsia="宋体" w:hAnsi="Times New Roman" w:cs="Times New Roman"/>
      <w:kern w:val="0"/>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widowControl/>
      <w:spacing w:line="259" w:lineRule="auto"/>
      <w:ind w:left="454" w:hanging="454"/>
    </w:pPr>
    <w:rPr>
      <w:rFonts w:ascii="Times New Roman" w:eastAsia="宋体"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widowControl/>
      <w:spacing w:before="100" w:beforeAutospacing="1" w:after="100" w:afterAutospacing="1" w:line="259" w:lineRule="auto"/>
    </w:pPr>
    <w:rPr>
      <w:rFonts w:ascii="Times New Roman" w:eastAsia="Arial Unicode MS" w:hAnsi="Times New Roman" w:cs="Times New Roman"/>
      <w:kern w:val="0"/>
      <w:sz w:val="24"/>
      <w:szCs w:val="24"/>
      <w:lang w:val="en-GB" w:eastAsia="en-US"/>
    </w:rPr>
  </w:style>
  <w:style w:type="paragraph" w:styleId="11">
    <w:name w:val="index 1"/>
    <w:basedOn w:val="a"/>
    <w:next w:val="a"/>
    <w:semiHidden/>
    <w:qFormat/>
    <w:pPr>
      <w:keepLines/>
      <w:widowControl/>
      <w:spacing w:line="259" w:lineRule="auto"/>
    </w:pPr>
    <w:rPr>
      <w:rFonts w:ascii="Times New Roman" w:eastAsia="宋体" w:hAnsi="Times New Roman" w:cs="Times New Roman"/>
      <w:kern w:val="0"/>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widowControl/>
      <w:tabs>
        <w:tab w:val="center" w:pos="4536"/>
        <w:tab w:val="right" w:pos="9072"/>
      </w:tabs>
      <w:spacing w:after="180" w:line="259" w:lineRule="auto"/>
    </w:pPr>
    <w:rPr>
      <w:rFonts w:ascii="Times New Roman" w:eastAsia="宋体" w:hAnsi="Times New Roman" w:cs="Times New Roman"/>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widowControl/>
      <w:spacing w:after="180" w:line="259" w:lineRule="auto"/>
      <w:ind w:left="1135" w:hanging="851"/>
    </w:pPr>
    <w:rPr>
      <w:rFonts w:ascii="Times New Roman" w:eastAsia="宋体" w:hAnsi="Times New Roman" w:cs="Times New Roman"/>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widowControl/>
      <w:spacing w:line="259" w:lineRule="auto"/>
    </w:pPr>
    <w:rPr>
      <w:rFonts w:ascii="Arial" w:eastAsia="宋体" w:hAnsi="Arial" w:cs="Times New Roman"/>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widowControl/>
      <w:spacing w:after="180" w:line="259" w:lineRule="auto"/>
      <w:ind w:left="1702" w:hanging="1418"/>
    </w:pPr>
    <w:rPr>
      <w:rFonts w:ascii="Times New Roman" w:eastAsia="宋体" w:hAnsi="Times New Roman" w:cs="Times New Roman"/>
      <w:kern w:val="0"/>
      <w:sz w:val="20"/>
      <w:szCs w:val="20"/>
      <w:lang w:val="en-GB" w:eastAsia="en-US"/>
    </w:rPr>
  </w:style>
  <w:style w:type="paragraph" w:customStyle="1" w:styleId="FP">
    <w:name w:val="FP"/>
    <w:basedOn w:val="a"/>
    <w:qFormat/>
    <w:pPr>
      <w:widowControl/>
      <w:spacing w:line="259" w:lineRule="auto"/>
    </w:pPr>
    <w:rPr>
      <w:rFonts w:ascii="Times New Roman" w:eastAsia="宋体"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uiPriority w:val="99"/>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widowControl/>
      <w:spacing w:before="60" w:after="180" w:line="259" w:lineRule="auto"/>
      <w:jc w:val="center"/>
    </w:pPr>
    <w:rPr>
      <w:rFonts w:ascii="Arial" w:eastAsia="宋体" w:hAnsi="Arial" w:cs="Times New Roman"/>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widowControl/>
      <w:spacing w:after="180" w:line="259" w:lineRule="auto"/>
      <w:ind w:left="851"/>
    </w:pPr>
    <w:rPr>
      <w:rFonts w:ascii="Times New Roman" w:eastAsia="宋体" w:hAnsi="Times New Roman" w:cs="Times New Roman"/>
      <w:kern w:val="0"/>
      <w:sz w:val="20"/>
      <w:szCs w:val="20"/>
      <w:lang w:val="en-GB" w:eastAsia="en-US"/>
    </w:rPr>
  </w:style>
  <w:style w:type="paragraph" w:customStyle="1" w:styleId="INDENT2">
    <w:name w:val="INDENT2"/>
    <w:basedOn w:val="a"/>
    <w:pPr>
      <w:widowControl/>
      <w:spacing w:after="180" w:line="259" w:lineRule="auto"/>
      <w:ind w:left="1135" w:hanging="284"/>
    </w:pPr>
    <w:rPr>
      <w:rFonts w:ascii="Times New Roman" w:eastAsia="宋体" w:hAnsi="Times New Roman" w:cs="Times New Roman"/>
      <w:kern w:val="0"/>
      <w:sz w:val="20"/>
      <w:szCs w:val="20"/>
      <w:lang w:val="en-GB" w:eastAsia="en-US"/>
    </w:rPr>
  </w:style>
  <w:style w:type="paragraph" w:customStyle="1" w:styleId="INDENT3">
    <w:name w:val="INDENT3"/>
    <w:basedOn w:val="a"/>
    <w:pPr>
      <w:widowControl/>
      <w:spacing w:after="180" w:line="259" w:lineRule="auto"/>
      <w:ind w:left="1701" w:hanging="567"/>
    </w:pPr>
    <w:rPr>
      <w:rFonts w:ascii="Times New Roman" w:eastAsia="宋体" w:hAnsi="Times New Roman" w:cs="Times New Roman"/>
      <w:kern w:val="0"/>
      <w:sz w:val="20"/>
      <w:szCs w:val="20"/>
      <w:lang w:val="en-GB" w:eastAsia="en-US"/>
    </w:rPr>
  </w:style>
  <w:style w:type="paragraph" w:customStyle="1" w:styleId="FigureTitle">
    <w:name w:val="Figure_Title"/>
    <w:basedOn w:val="a"/>
    <w:next w:val="a"/>
    <w:qFormat/>
    <w:pPr>
      <w:keepLines/>
      <w:widowControl/>
      <w:tabs>
        <w:tab w:val="left" w:pos="794"/>
        <w:tab w:val="left" w:pos="1191"/>
        <w:tab w:val="left" w:pos="1588"/>
        <w:tab w:val="left" w:pos="1985"/>
      </w:tabs>
      <w:spacing w:before="120" w:after="480" w:line="259" w:lineRule="auto"/>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
    <w:qFormat/>
    <w:pPr>
      <w:keepNext/>
      <w:keepLines/>
      <w:widowControl/>
      <w:spacing w:after="180" w:line="259" w:lineRule="auto"/>
    </w:pPr>
    <w:rPr>
      <w:rFonts w:ascii="Times New Roman" w:eastAsia="宋体" w:hAnsi="Times New Roman" w:cs="Times New Roman"/>
      <w:b/>
      <w:kern w:val="0"/>
      <w:sz w:val="20"/>
      <w:szCs w:val="20"/>
      <w:lang w:val="en-GB" w:eastAsia="en-US"/>
    </w:rPr>
  </w:style>
  <w:style w:type="paragraph" w:customStyle="1" w:styleId="enumlev2">
    <w:name w:val="enumlev2"/>
    <w:basedOn w:val="a"/>
    <w:qFormat/>
    <w:pPr>
      <w:widowControl/>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
    <w:pPr>
      <w:keepNext/>
      <w:keepLines/>
      <w:widowControl/>
      <w:spacing w:before="240" w:after="180" w:line="259" w:lineRule="auto"/>
      <w:ind w:left="1418"/>
    </w:pPr>
    <w:rPr>
      <w:rFonts w:ascii="Arial" w:eastAsia="宋体" w:hAnsi="Arial" w:cs="Times New Roman"/>
      <w:b/>
      <w:kern w:val="0"/>
      <w:sz w:val="36"/>
      <w:szCs w:val="20"/>
      <w:lang w:eastAsia="en-US"/>
    </w:rPr>
  </w:style>
  <w:style w:type="paragraph" w:customStyle="1" w:styleId="TAJ">
    <w:name w:val="TAJ"/>
    <w:basedOn w:val="TH"/>
  </w:style>
  <w:style w:type="paragraph" w:customStyle="1" w:styleId="Guidance">
    <w:name w:val="Guidance"/>
    <w:basedOn w:val="a"/>
    <w:link w:val="GuidanceChar"/>
    <w:qFormat/>
    <w:pPr>
      <w:widowControl/>
      <w:spacing w:after="180" w:line="259" w:lineRule="auto"/>
    </w:pPr>
    <w:rPr>
      <w:rFonts w:ascii="Times New Roman" w:eastAsia="宋体" w:hAnsi="Times New Roman" w:cs="Times New Roman"/>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widowControl/>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cs="Times New Roman"/>
      <w:b/>
      <w:kern w:val="0"/>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widowControl/>
      <w:overflowPunct w:val="0"/>
      <w:autoSpaceDE w:val="0"/>
      <w:autoSpaceDN w:val="0"/>
      <w:adjustRightInd w:val="0"/>
      <w:spacing w:after="180" w:line="259" w:lineRule="auto"/>
      <w:textAlignment w:val="baseline"/>
    </w:pPr>
    <w:rPr>
      <w:rFonts w:ascii="Arial" w:eastAsia="Yu Mincho" w:hAnsi="Arial" w:cs="Times New Roman"/>
      <w:b/>
      <w:kern w:val="0"/>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paragraph" w:customStyle="1" w:styleId="tal0">
    <w:name w:val="tal"/>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widowControl/>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cs="Times New Roman"/>
      <w:b/>
      <w:color w:val="0000FF"/>
      <w:kern w:val="0"/>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widowControl/>
      <w:overflowPunct w:val="0"/>
      <w:autoSpaceDE w:val="0"/>
      <w:autoSpaceDN w:val="0"/>
      <w:spacing w:after="180"/>
      <w:ind w:firstLine="420"/>
      <w:jc w:val="left"/>
    </w:pPr>
    <w:rPr>
      <w:rFonts w:ascii="Times New Roman" w:eastAsia="宋体" w:hAnsi="Times New Roman" w:cs="Times New Roman"/>
      <w:kern w:val="0"/>
      <w:sz w:val="20"/>
      <w:szCs w:val="20"/>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840</Words>
  <Characters>4791</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9</cp:revision>
  <cp:lastPrinted>2019-04-25T01:09:00Z</cp:lastPrinted>
  <dcterms:created xsi:type="dcterms:W3CDTF">2025-03-25T06:41:00Z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858e6e80e95911ef80007f7a00007e7a">
    <vt:lpwstr>CWMH+ZimRrqmLsdxhuWyUloRS8mgwzGMLlf226prGNFrvWDp8gDgUhnou2EBifhHL1f2MJHZM+osef+eyxiia0Bgg==</vt:lpwstr>
  </property>
</Properties>
</file>